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E9" w:rsidRDefault="00D25DE9" w:rsidP="00D25DE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3.12. Информация о предложении регулируемой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водоотведения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период регулирования</w:t>
      </w:r>
    </w:p>
    <w:p w:rsidR="00D25DE9" w:rsidRDefault="00D25DE9" w:rsidP="00D25DE9">
      <w:pPr>
        <w:spacing w:after="1" w:line="220" w:lineRule="atLeast"/>
        <w:jc w:val="both"/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646,32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685,59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707,06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719,33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D25DE9" w:rsidRDefault="00955FEF" w:rsidP="00955FEF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742,55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="00955FEF">
              <w:t>по 31.12.2023</w:t>
            </w:r>
            <w:r w:rsidRPr="0020429C">
              <w:t xml:space="preserve"> г.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7A50E5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245" w:type="dxa"/>
          </w:tcPr>
          <w:p w:rsidR="00D25DE9" w:rsidRDefault="00D25DE9" w:rsidP="00FF3976">
            <w:pPr>
              <w:spacing w:after="1" w:line="220" w:lineRule="atLeast"/>
            </w:pPr>
          </w:p>
        </w:tc>
      </w:tr>
      <w:tr w:rsidR="00D25DE9" w:rsidTr="00955FEF">
        <w:trPr>
          <w:trHeight w:val="1515"/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21 716,31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23 035,80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23 757,16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24 169,64</w:t>
            </w:r>
            <w:r w:rsidRPr="0020429C">
              <w:t xml:space="preserve"> </w:t>
            </w:r>
            <w:r w:rsidR="00EC3F5C">
              <w:t>тыс.руб.</w:t>
            </w:r>
          </w:p>
          <w:p w:rsidR="00D25DE9" w:rsidRDefault="00955FEF" w:rsidP="00EC3F5C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24 949,60</w:t>
            </w:r>
            <w:r w:rsidRPr="0020429C">
              <w:t xml:space="preserve"> </w:t>
            </w:r>
            <w:r w:rsidR="00EC3F5C">
              <w:t>тыс.руб.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принятой в сеть воды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33,60</w:t>
            </w:r>
            <w:r w:rsidR="00EC3F5C">
              <w:t xml:space="preserve"> тыс. 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D25DE9" w:rsidRPr="00955FEF" w:rsidRDefault="00955FEF" w:rsidP="00955FEF">
            <w:pPr>
              <w:spacing w:after="1" w:line="220" w:lineRule="atLeast"/>
              <w:rPr>
                <w:b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955FEF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</w:t>
            </w:r>
            <w:bookmarkStart w:id="0" w:name="_GoBack"/>
            <w:bookmarkEnd w:id="0"/>
            <w:r>
              <w:t>17</w:t>
            </w:r>
            <w:r w:rsidRPr="0020429C">
              <w:t xml:space="preserve"> г.</w:t>
            </w:r>
            <w:r>
              <w:t xml:space="preserve">: - </w:t>
            </w:r>
            <w:r w:rsidR="00955FEF">
              <w:t>1 170,29</w:t>
            </w:r>
            <w:r>
              <w:t xml:space="preserve"> тыс.руб.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955FEF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955FEF">
              <w:t>6 553,32</w:t>
            </w:r>
            <w:r>
              <w:t xml:space="preserve"> тыс.руб.</w:t>
            </w:r>
          </w:p>
        </w:tc>
      </w:tr>
    </w:tbl>
    <w:p w:rsidR="007A50E5" w:rsidRDefault="007A50E5"/>
    <w:p w:rsidR="00146F31" w:rsidRDefault="00050BFD" w:rsidP="00050BFD">
      <w:pPr>
        <w:ind w:left="426"/>
      </w:pPr>
      <w:r>
        <w:rPr>
          <w:rFonts w:ascii="Calibri" w:hAnsi="Calibri" w:cs="Calibri"/>
        </w:rPr>
        <w:t xml:space="preserve">*Сведения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42"/>
        <w:gridCol w:w="1843"/>
        <w:gridCol w:w="1701"/>
        <w:gridCol w:w="2357"/>
      </w:tblGrid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Год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2019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17 499,85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0,65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2020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17 499,85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0,63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2021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17 499,85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0,63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2022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17 499,85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0,65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lastRenderedPageBreak/>
              <w:t>2023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17 499,85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0,65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</w:tbl>
    <w:p w:rsidR="00955FEF" w:rsidRDefault="00955FEF"/>
    <w:sectPr w:rsidR="00955FEF" w:rsidSect="00955FE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9"/>
    <w:rsid w:val="00050BFD"/>
    <w:rsid w:val="000C5659"/>
    <w:rsid w:val="00146F31"/>
    <w:rsid w:val="00387C23"/>
    <w:rsid w:val="007A50E5"/>
    <w:rsid w:val="00955FEF"/>
    <w:rsid w:val="00D25DE9"/>
    <w:rsid w:val="00E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34A-F5F1-4C74-981B-CF502CA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6</cp:revision>
  <dcterms:created xsi:type="dcterms:W3CDTF">2018-05-08T03:41:00Z</dcterms:created>
  <dcterms:modified xsi:type="dcterms:W3CDTF">2018-05-08T07:12:00Z</dcterms:modified>
</cp:coreProperties>
</file>