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A7" w:rsidRDefault="00ED24A7" w:rsidP="00ED24A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15. Информация о предложении регулируемой организации</w:t>
      </w:r>
    </w:p>
    <w:p w:rsidR="00ED24A7" w:rsidRDefault="00ED24A7" w:rsidP="00ED24A7">
      <w:pPr>
        <w:spacing w:after="1" w:line="220" w:lineRule="atLeast"/>
        <w:jc w:val="center"/>
      </w:pPr>
      <w:r>
        <w:rPr>
          <w:rFonts w:ascii="Calibri" w:hAnsi="Calibri" w:cs="Calibri"/>
        </w:rPr>
        <w:t>об установлении цен (тарифов) в сфере теплоснабжения</w:t>
      </w:r>
    </w:p>
    <w:p w:rsidR="00ED24A7" w:rsidRDefault="00ED24A7" w:rsidP="00ED24A7">
      <w:pPr>
        <w:spacing w:after="1" w:line="220" w:lineRule="atLeast"/>
        <w:jc w:val="center"/>
      </w:pPr>
      <w:r>
        <w:rPr>
          <w:rFonts w:ascii="Calibri" w:hAnsi="Calibri" w:cs="Calibri"/>
        </w:rPr>
        <w:t>на очередной расчетный период регулирования</w:t>
      </w:r>
    </w:p>
    <w:p w:rsidR="00ED24A7" w:rsidRDefault="00ED24A7" w:rsidP="00ED24A7">
      <w:pPr>
        <w:spacing w:after="1" w:line="220" w:lineRule="atLeast"/>
        <w:jc w:val="both"/>
      </w:pPr>
    </w:p>
    <w:tbl>
      <w:tblPr>
        <w:tblW w:w="99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961"/>
      </w:tblGrid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4961" w:type="dxa"/>
          </w:tcPr>
          <w:p w:rsidR="00ED24A7" w:rsidRDefault="0060321A" w:rsidP="00FF3976">
            <w:pPr>
              <w:spacing w:after="1" w:line="220" w:lineRule="atLeast"/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4961" w:type="dxa"/>
          </w:tcPr>
          <w:p w:rsidR="0060321A" w:rsidRPr="0020429C" w:rsidRDefault="0060321A" w:rsidP="0060321A">
            <w:pPr>
              <w:spacing w:after="1" w:line="220" w:lineRule="atLeast"/>
            </w:pPr>
            <w:r w:rsidRPr="0020429C">
              <w:t xml:space="preserve">с 01.01.2019 г. по 30.06.2019 г.: </w:t>
            </w:r>
            <w:r>
              <w:t>3 803,15</w:t>
            </w:r>
            <w:r w:rsidRPr="0020429C">
              <w:t xml:space="preserve"> руб.</w:t>
            </w:r>
            <w:r>
              <w:t>/Гкал</w:t>
            </w:r>
          </w:p>
          <w:p w:rsidR="00ED24A7" w:rsidRDefault="0060321A" w:rsidP="00A428A6">
            <w:pPr>
              <w:spacing w:after="1" w:line="220" w:lineRule="atLeast"/>
            </w:pPr>
            <w:r w:rsidRPr="0020429C">
              <w:t xml:space="preserve">с 01.07.2019 г. по 31.12.2019 г.: </w:t>
            </w:r>
            <w:r w:rsidR="00A428A6">
              <w:t>5 414,15</w:t>
            </w:r>
            <w:r>
              <w:t xml:space="preserve"> </w:t>
            </w:r>
            <w:r w:rsidRPr="0020429C">
              <w:t>руб.</w:t>
            </w:r>
            <w:r>
              <w:t>/Гкал.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4961" w:type="dxa"/>
          </w:tcPr>
          <w:p w:rsidR="00ED24A7" w:rsidRDefault="0060321A" w:rsidP="00FF3976">
            <w:pPr>
              <w:spacing w:after="1" w:line="220" w:lineRule="atLeast"/>
            </w:pPr>
            <w:r w:rsidRPr="0020429C">
              <w:t>с 01.01.2019 г.</w:t>
            </w:r>
            <w:r>
              <w:t xml:space="preserve"> </w:t>
            </w:r>
            <w:r w:rsidRPr="0020429C">
              <w:t>по 31.12.2019 г.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 w:rsidR="0060321A">
              <w:rPr>
                <w:rFonts w:ascii="Calibri" w:hAnsi="Calibri" w:cs="Calibri"/>
              </w:rPr>
              <w:t xml:space="preserve"> *</w:t>
            </w:r>
          </w:p>
        </w:tc>
        <w:tc>
          <w:tcPr>
            <w:tcW w:w="4961" w:type="dxa"/>
          </w:tcPr>
          <w:p w:rsidR="00ED24A7" w:rsidRDefault="00ED24A7" w:rsidP="00FF3976">
            <w:pPr>
              <w:spacing w:after="1" w:line="220" w:lineRule="atLeast"/>
            </w:pPr>
          </w:p>
        </w:tc>
      </w:tr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4961" w:type="dxa"/>
          </w:tcPr>
          <w:p w:rsidR="00ED24A7" w:rsidRPr="0060321A" w:rsidRDefault="00A428A6" w:rsidP="00FF3976">
            <w:pPr>
              <w:spacing w:after="1" w:line="220" w:lineRule="atLeast"/>
              <w:rPr>
                <w:lang w:val="en-US"/>
              </w:rPr>
            </w:pPr>
            <w:r>
              <w:t>325 055,05</w:t>
            </w:r>
            <w:bookmarkStart w:id="0" w:name="_GoBack"/>
            <w:bookmarkEnd w:id="0"/>
            <w:r w:rsidR="0060321A">
              <w:t xml:space="preserve"> тыс.руб.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4961" w:type="dxa"/>
          </w:tcPr>
          <w:p w:rsidR="00ED24A7" w:rsidRPr="0060321A" w:rsidRDefault="0060321A" w:rsidP="00FF3976">
            <w:pPr>
              <w:spacing w:after="1" w:line="220" w:lineRule="atLeast"/>
            </w:pPr>
            <w:r>
              <w:t>72,</w:t>
            </w:r>
            <w:r w:rsidRPr="0060321A">
              <w:t xml:space="preserve"> 75 </w:t>
            </w:r>
            <w:r>
              <w:t>тыс. Гкал.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FF397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4961" w:type="dxa"/>
          </w:tcPr>
          <w:p w:rsidR="00ED24A7" w:rsidRDefault="0060321A" w:rsidP="00FF3976">
            <w:pPr>
              <w:spacing w:after="1" w:line="220" w:lineRule="atLeast"/>
            </w:pPr>
            <w:r>
              <w:t>9 058,92 тыс.руб.</w:t>
            </w:r>
          </w:p>
        </w:tc>
      </w:tr>
    </w:tbl>
    <w:p w:rsidR="00ED24A7" w:rsidRDefault="00ED24A7" w:rsidP="00ED24A7">
      <w:pPr>
        <w:spacing w:after="1" w:line="220" w:lineRule="atLeast"/>
        <w:jc w:val="both"/>
      </w:pPr>
    </w:p>
    <w:p w:rsidR="0060321A" w:rsidRDefault="0060321A">
      <w:r>
        <w:br w:type="page"/>
      </w:r>
    </w:p>
    <w:p w:rsidR="0060321A" w:rsidRDefault="0060321A" w:rsidP="0060321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sectPr w:rsidR="00603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69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478"/>
        <w:gridCol w:w="2774"/>
        <w:gridCol w:w="2694"/>
        <w:gridCol w:w="3208"/>
      </w:tblGrid>
      <w:tr w:rsidR="0060321A" w:rsidRPr="0060321A" w:rsidTr="00AA45A6">
        <w:trPr>
          <w:trHeight w:val="795"/>
        </w:trPr>
        <w:tc>
          <w:tcPr>
            <w:tcW w:w="1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1A" w:rsidRPr="0060321A" w:rsidRDefault="0060321A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III. 2 Информация о долгосрочных параметрах регулирования, используемых при расчете долгосрочных тарифов в сфере ТЕПЛОСНАБЖЕНИЯ методом индексации установленных тарифов</w:t>
            </w:r>
          </w:p>
        </w:tc>
      </w:tr>
      <w:tr w:rsidR="00AA45A6" w:rsidRPr="0060321A" w:rsidTr="00AA45A6">
        <w:trPr>
          <w:trHeight w:val="16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8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Показатели энергосбережения и энергетической эффективности</w:t>
            </w: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AA45A6" w:rsidRPr="0060321A" w:rsidTr="00AA45A6">
        <w:trPr>
          <w:trHeight w:val="21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</w:tr>
      <w:tr w:rsidR="00AA45A6" w:rsidRPr="0060321A" w:rsidTr="00AA45A6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кг у.т./Гкал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Гкал (тонн)/ м</w:t>
            </w: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A45A6" w:rsidRPr="0060321A" w:rsidTr="00AA45A6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175 292,35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129,93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22 040,86</w:t>
            </w:r>
          </w:p>
        </w:tc>
      </w:tr>
      <w:tr w:rsidR="00AA45A6" w:rsidRPr="0060321A" w:rsidTr="00AA45A6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175 292,35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129,93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22 040,86</w:t>
            </w:r>
          </w:p>
        </w:tc>
      </w:tr>
      <w:tr w:rsidR="00AA45A6" w:rsidRPr="0060321A" w:rsidTr="00AA45A6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175 292,35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129,93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45A6" w:rsidRPr="0060321A" w:rsidRDefault="00AA45A6" w:rsidP="006032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032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22 040,86</w:t>
            </w:r>
          </w:p>
        </w:tc>
      </w:tr>
    </w:tbl>
    <w:p w:rsidR="00146F31" w:rsidRDefault="00146F31"/>
    <w:sectPr w:rsidR="00146F31" w:rsidSect="006032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7"/>
    <w:rsid w:val="00146F31"/>
    <w:rsid w:val="0060321A"/>
    <w:rsid w:val="00A428A6"/>
    <w:rsid w:val="00AA45A6"/>
    <w:rsid w:val="00E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1F4A-976D-424F-A936-1DF23C6D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2018-09-11T04:43:00Z</dcterms:created>
  <dcterms:modified xsi:type="dcterms:W3CDTF">2018-09-11T04:43:00Z</dcterms:modified>
</cp:coreProperties>
</file>